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b/>
          <w:sz w:val="24"/>
          <w:szCs w:val="24"/>
        </w:rPr>
      </w:pPr>
      <w:r>
        <w:rPr>
          <w:rFonts w:hint="eastAsia" w:ascii="Times New Roman" w:hAnsi="Times New Roman"/>
          <w:b/>
          <w:sz w:val="24"/>
          <w:szCs w:val="24"/>
        </w:rPr>
        <w:t>天津南开大学资产经营有限责任公司</w:t>
      </w:r>
    </w:p>
    <w:tbl>
      <w:tblPr>
        <w:tblStyle w:val="2"/>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624"/>
        <w:gridCol w:w="1418"/>
      </w:tblGrid>
      <w:tr>
        <w:trPr>
          <w:trHeight w:val="454" w:hRule="atLeast"/>
        </w:trP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序号</w:t>
            </w:r>
          </w:p>
        </w:tc>
        <w:tc>
          <w:tcPr>
            <w:tcW w:w="6624"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归档范围</w:t>
            </w:r>
          </w:p>
        </w:tc>
        <w:tc>
          <w:tcPr>
            <w:tcW w:w="1418" w:type="dxa"/>
            <w:vAlign w:val="center"/>
          </w:tcPr>
          <w:p>
            <w:pPr>
              <w:widowControl/>
              <w:tabs>
                <w:tab w:val="left" w:pos="1080"/>
                <w:tab w:val="left" w:pos="6480"/>
              </w:tabs>
              <w:adjustRightInd w:val="0"/>
              <w:spacing w:line="440" w:lineRule="exact"/>
              <w:jc w:val="center"/>
              <w:rPr>
                <w:rFonts w:ascii="Times New Roman" w:hAnsi="Times New Roman"/>
                <w:b/>
                <w:color w:val="000000"/>
                <w:kern w:val="0"/>
                <w:sz w:val="24"/>
                <w:szCs w:val="24"/>
              </w:rPr>
            </w:pPr>
            <w:r>
              <w:rPr>
                <w:rFonts w:ascii="Times New Roman" w:hAnsi="Times New Roman"/>
                <w:color w:val="000000"/>
                <w:kern w:val="0"/>
                <w:sz w:val="24"/>
                <w:szCs w:val="24"/>
              </w:rPr>
              <w:t>保管期限</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bCs/>
                <w:color w:val="000000"/>
                <w:kern w:val="0"/>
                <w:sz w:val="24"/>
                <w:szCs w:val="24"/>
              </w:rPr>
            </w:pPr>
            <w:r>
              <w:rPr>
                <w:rFonts w:ascii="Times New Roman" w:hAnsi="Times New Roman"/>
                <w:bCs/>
                <w:color w:val="000000"/>
                <w:kern w:val="0"/>
                <w:sz w:val="24"/>
                <w:szCs w:val="24"/>
              </w:rPr>
              <w:t>1</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bCs/>
                <w:color w:val="000000"/>
                <w:kern w:val="0"/>
                <w:sz w:val="24"/>
                <w:szCs w:val="24"/>
              </w:rPr>
              <w:t>本企业</w:t>
            </w:r>
            <w:r>
              <w:rPr>
                <w:rFonts w:hint="eastAsia" w:ascii="Times New Roman" w:hAnsi="Times New Roman"/>
                <w:color w:val="000000"/>
                <w:kern w:val="0"/>
                <w:sz w:val="24"/>
                <w:szCs w:val="24"/>
              </w:rPr>
              <w:t>章程送审稿、批准稿及正式文本</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2</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本企业董事会、监事会构成及变更文件材料，发起人协议</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spacing w:val="-10"/>
                <w:kern w:val="0"/>
                <w:sz w:val="24"/>
                <w:szCs w:val="24"/>
              </w:rPr>
            </w:pPr>
            <w:r>
              <w:rPr>
                <w:rFonts w:hint="eastAsia" w:ascii="Times New Roman" w:hAnsi="Times New Roman"/>
                <w:color w:val="000000"/>
                <w:spacing w:val="-10"/>
                <w:kern w:val="0"/>
                <w:sz w:val="24"/>
                <w:szCs w:val="24"/>
              </w:rPr>
              <w:t>董事会、监事会会议形成的文件材料（包括</w:t>
            </w:r>
            <w:r>
              <w:rPr>
                <w:rFonts w:hint="eastAsia" w:ascii="Times New Roman" w:hAnsi="Times New Roman"/>
                <w:color w:val="000000"/>
                <w:kern w:val="0"/>
                <w:sz w:val="24"/>
                <w:szCs w:val="24"/>
              </w:rPr>
              <w:t>会议通知、议程、报告、决议、决定、公报声明、记录、领导人讲话、总结、纪要、讨论通过的文件材料、参加人员名单）</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spacing w:val="-12"/>
                <w:kern w:val="0"/>
                <w:sz w:val="24"/>
                <w:szCs w:val="24"/>
              </w:rPr>
              <w:t>董事、监事、股东履职和维护权益过程形成的重要文件材料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5</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本企业特许经营权证文件材料，本企业资质认证、商誉评估、信用评级等文件材料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6</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本企业资产与产权转让、买卖、抵押、租赁、许可、变更、清算、评估、处置、注销等资产变动文件材料，因产权变动所致职工身份变化的材料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dstrike/>
                <w:color w:val="000000"/>
                <w:kern w:val="0"/>
                <w:sz w:val="24"/>
                <w:szCs w:val="24"/>
              </w:rPr>
            </w:pPr>
            <w:r>
              <w:rPr>
                <w:rFonts w:hint="eastAsia" w:ascii="Times New Roman" w:hAnsi="Times New Roman"/>
                <w:color w:val="000000"/>
                <w:kern w:val="0"/>
                <w:sz w:val="24"/>
                <w:szCs w:val="24"/>
              </w:rPr>
              <w:t>7</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本企业其他债权、债务登记重要的文件材料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8</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投资企业董事会、股东会文件材料、投资企业的财务报告、红利分配文件材料，股权证、转让协议等股权管理文件材料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9</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本企业在并购、参股、股权受让、基金业务及债权型投资等投资业务中形成的其他重要文件材料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10</w:t>
            </w:r>
          </w:p>
        </w:tc>
        <w:tc>
          <w:tcPr>
            <w:tcW w:w="6624" w:type="dxa"/>
            <w:vAlign w:val="center"/>
          </w:tcPr>
          <w:p>
            <w:pPr>
              <w:widowControl/>
              <w:tabs>
                <w:tab w:val="left" w:pos="1080"/>
                <w:tab w:val="left" w:pos="6480"/>
              </w:tabs>
              <w:adjustRightInd w:val="0"/>
              <w:spacing w:line="440" w:lineRule="exact"/>
              <w:jc w:val="left"/>
              <w:rPr>
                <w:rFonts w:ascii="Times New Roman" w:hAnsi="Times New Roman"/>
                <w:b/>
                <w:color w:val="000000"/>
                <w:kern w:val="0"/>
                <w:sz w:val="24"/>
                <w:szCs w:val="24"/>
              </w:rPr>
            </w:pPr>
            <w:r>
              <w:rPr>
                <w:rFonts w:hint="eastAsia" w:ascii="Times New Roman" w:hAnsi="Times New Roman"/>
                <w:color w:val="000000"/>
                <w:kern w:val="0"/>
                <w:sz w:val="24"/>
                <w:szCs w:val="24"/>
              </w:rPr>
              <w:t>本企业总经理办公会、党政联席会会议文件材料（包括通知、议程、报告、决议、决定、公报声明、记录、领导人讲话、总结、纪要、讨论通过的文件材料，参加人员名单）</w:t>
            </w:r>
          </w:p>
        </w:tc>
        <w:tc>
          <w:tcPr>
            <w:tcW w:w="1418" w:type="dxa"/>
            <w:vAlign w:val="center"/>
          </w:tcPr>
          <w:p>
            <w:pPr>
              <w:widowControl/>
              <w:tabs>
                <w:tab w:val="left" w:pos="1080"/>
                <w:tab w:val="left" w:pos="6480"/>
              </w:tabs>
              <w:adjustRightInd w:val="0"/>
              <w:spacing w:line="440" w:lineRule="exact"/>
              <w:jc w:val="center"/>
              <w:rPr>
                <w:rFonts w:ascii="Times New Roman" w:hAnsi="Times New Roman"/>
                <w:b/>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11</w:t>
            </w:r>
          </w:p>
        </w:tc>
        <w:tc>
          <w:tcPr>
            <w:tcW w:w="6624" w:type="dxa"/>
            <w:vAlign w:val="center"/>
          </w:tcPr>
          <w:p>
            <w:pPr>
              <w:widowControl/>
              <w:tabs>
                <w:tab w:val="left" w:pos="1080"/>
                <w:tab w:val="left" w:pos="6480"/>
              </w:tabs>
              <w:adjustRightInd w:val="0"/>
              <w:spacing w:line="440" w:lineRule="exact"/>
              <w:jc w:val="left"/>
              <w:rPr>
                <w:rFonts w:ascii="Times New Roman" w:hAnsi="Times New Roman"/>
                <w:b/>
                <w:color w:val="000000"/>
                <w:kern w:val="0"/>
                <w:sz w:val="24"/>
                <w:szCs w:val="24"/>
              </w:rPr>
            </w:pPr>
            <w:r>
              <w:rPr>
                <w:rFonts w:hint="eastAsia" w:ascii="Times New Roman" w:hAnsi="Times New Roman"/>
                <w:color w:val="000000"/>
                <w:kern w:val="0"/>
                <w:sz w:val="24"/>
                <w:szCs w:val="24"/>
              </w:rPr>
              <w:t>本企业召开的重要工作会议、重要专题会议的文件材料（包括请示、批复、通知、名单、日程、报告、讲话、总结、决议、决定、纪要）</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12</w:t>
            </w:r>
          </w:p>
        </w:tc>
        <w:tc>
          <w:tcPr>
            <w:tcW w:w="6624" w:type="dxa"/>
            <w:vAlign w:val="center"/>
          </w:tcPr>
          <w:p>
            <w:pPr>
              <w:widowControl/>
              <w:tabs>
                <w:tab w:val="left" w:pos="1080"/>
                <w:tab w:val="left" w:pos="6480"/>
              </w:tabs>
              <w:adjustRightInd w:val="0"/>
              <w:spacing w:line="440" w:lineRule="exact"/>
              <w:jc w:val="left"/>
              <w:rPr>
                <w:rFonts w:ascii="Times New Roman" w:hAnsi="Times New Roman"/>
                <w:b/>
                <w:color w:val="000000"/>
                <w:kern w:val="0"/>
                <w:sz w:val="24"/>
                <w:szCs w:val="24"/>
              </w:rPr>
            </w:pPr>
            <w:r>
              <w:rPr>
                <w:rFonts w:hint="eastAsia" w:ascii="Times New Roman" w:hAnsi="Times New Roman"/>
                <w:color w:val="000000"/>
                <w:kern w:val="0"/>
                <w:sz w:val="24"/>
                <w:szCs w:val="24"/>
              </w:rPr>
              <w:t>本企业向有关机关、上级主管单位就重要事项的请示、报告与有关机关、上级主管单位批复、批示</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1</w:t>
            </w:r>
            <w:r>
              <w:rPr>
                <w:rFonts w:hint="eastAsia" w:ascii="Times New Roman" w:hAnsi="Times New Roman"/>
                <w:color w:val="000000"/>
                <w:kern w:val="0"/>
                <w:sz w:val="24"/>
                <w:szCs w:val="24"/>
              </w:rPr>
              <w:t>3</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本企业收到的有关机关、上级主管单位等相关机构制发的涉及本企业经营管理重要事项和其他重要事项的文件材料（校发文除外）</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1</w:t>
            </w:r>
            <w:r>
              <w:rPr>
                <w:rFonts w:hint="eastAsia" w:ascii="Times New Roman" w:hAnsi="Times New Roman"/>
                <w:color w:val="000000"/>
                <w:kern w:val="0"/>
                <w:sz w:val="24"/>
                <w:szCs w:val="24"/>
              </w:rPr>
              <w:t>4</w:t>
            </w:r>
          </w:p>
        </w:tc>
        <w:tc>
          <w:tcPr>
            <w:tcW w:w="6624" w:type="dxa"/>
            <w:vAlign w:val="center"/>
          </w:tcPr>
          <w:p>
            <w:pPr>
              <w:widowControl/>
              <w:tabs>
                <w:tab w:val="left" w:pos="1080"/>
                <w:tab w:val="left" w:pos="6480"/>
              </w:tabs>
              <w:adjustRightInd w:val="0"/>
              <w:spacing w:line="440" w:lineRule="exact"/>
              <w:jc w:val="left"/>
              <w:rPr>
                <w:rFonts w:ascii="Times New Roman" w:hAnsi="Times New Roman"/>
                <w:b/>
                <w:color w:val="000000"/>
                <w:kern w:val="0"/>
                <w:sz w:val="24"/>
                <w:szCs w:val="24"/>
              </w:rPr>
            </w:pPr>
            <w:r>
              <w:rPr>
                <w:rFonts w:hint="eastAsia" w:ascii="Times New Roman" w:hAnsi="Times New Roman"/>
                <w:color w:val="000000"/>
                <w:kern w:val="0"/>
                <w:sz w:val="24"/>
                <w:szCs w:val="24"/>
              </w:rPr>
              <w:t>本企业与金融机构、中介机构及其他组织和个人就重要事项来往文件材料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b/>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15</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本企业与其他单位签署的战略合作协议、重要谈判的合同协议</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16</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本企业对外发布的重要事项公告、公示等文件材料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b/>
                <w:color w:val="000000"/>
                <w:kern w:val="0"/>
                <w:sz w:val="24"/>
                <w:szCs w:val="24"/>
              </w:rPr>
            </w:pPr>
            <w:r>
              <w:rPr>
                <w:rFonts w:hint="eastAsia" w:ascii="Times New Roman" w:hAnsi="Times New Roman"/>
                <w:color w:val="000000"/>
                <w:kern w:val="0"/>
                <w:sz w:val="24"/>
                <w:szCs w:val="24"/>
              </w:rPr>
              <w:t>17</w:t>
            </w:r>
          </w:p>
        </w:tc>
        <w:tc>
          <w:tcPr>
            <w:tcW w:w="6624" w:type="dxa"/>
            <w:vAlign w:val="center"/>
          </w:tcPr>
          <w:p>
            <w:pPr>
              <w:widowControl/>
              <w:tabs>
                <w:tab w:val="left" w:pos="1080"/>
                <w:tab w:val="left" w:pos="6480"/>
              </w:tabs>
              <w:adjustRightInd w:val="0"/>
              <w:spacing w:line="440" w:lineRule="exact"/>
              <w:jc w:val="left"/>
              <w:rPr>
                <w:rFonts w:ascii="Times New Roman" w:hAnsi="Times New Roman"/>
                <w:b/>
                <w:color w:val="000000"/>
                <w:kern w:val="0"/>
                <w:sz w:val="24"/>
                <w:szCs w:val="24"/>
              </w:rPr>
            </w:pPr>
            <w:r>
              <w:rPr>
                <w:rFonts w:hint="eastAsia" w:ascii="Times New Roman" w:hAnsi="Times New Roman"/>
                <w:color w:val="000000"/>
                <w:kern w:val="0"/>
                <w:sz w:val="24"/>
                <w:szCs w:val="24"/>
              </w:rPr>
              <w:t>所属和控股企业的就重大问题的请示、报告、函与本企业的批复、复函等文件材料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18</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本企业年度计划、任务目标、</w:t>
            </w:r>
            <w:r>
              <w:rPr>
                <w:rFonts w:hint="eastAsia" w:ascii="Times New Roman" w:hAnsi="Times New Roman"/>
                <w:color w:val="000000"/>
                <w:sz w:val="24"/>
                <w:szCs w:val="24"/>
              </w:rPr>
              <w:t>总结、统计文件材料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19</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sz w:val="24"/>
                <w:szCs w:val="24"/>
              </w:rPr>
              <w:t>本企业所属和控股企业的经营目标责任书、业绩考核评价文件材料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长期</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20</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企业管理规划、计划、总结、实施方案、制度、规定、办法等</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21</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企业管理方案实施、检查验收文件材料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长期</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22</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资本经营工作规划、计划、总结、条例、制度、办法、规定、决定等</w:t>
            </w:r>
          </w:p>
        </w:tc>
        <w:tc>
          <w:tcPr>
            <w:tcW w:w="1418" w:type="dxa"/>
            <w:vAlign w:val="center"/>
          </w:tcPr>
          <w:p>
            <w:pPr>
              <w:widowControl/>
              <w:tabs>
                <w:tab w:val="left" w:pos="1080"/>
                <w:tab w:val="left" w:pos="6480"/>
              </w:tabs>
              <w:adjustRightInd w:val="0"/>
              <w:spacing w:line="440" w:lineRule="exact"/>
              <w:jc w:val="center"/>
              <w:rPr>
                <w:rFonts w:ascii="Times New Roman" w:hAnsi="Times New Roman"/>
                <w:dstrike/>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23</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资本经营工作通知、纪要、记录、调研报告</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30年</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24</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sz w:val="24"/>
                <w:szCs w:val="24"/>
              </w:rPr>
            </w:pPr>
            <w:r>
              <w:rPr>
                <w:rFonts w:hint="eastAsia" w:ascii="Times New Roman" w:hAnsi="Times New Roman"/>
                <w:color w:val="000000"/>
                <w:sz w:val="24"/>
                <w:szCs w:val="24"/>
              </w:rPr>
              <w:t>本企业财务管理制度、规定、办法、总结</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25</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反映本企业经营盈亏情况的重要报告、报表</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26</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本企业财务预、决算</w:t>
            </w:r>
            <w:r>
              <w:rPr>
                <w:rFonts w:hint="eastAsia" w:ascii="Times New Roman" w:hAnsi="Times New Roman"/>
                <w:color w:val="000000"/>
                <w:sz w:val="24"/>
                <w:szCs w:val="24"/>
              </w:rPr>
              <w:t>报告</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27</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本企业组织机构设置、撤并、名称变更、岗位职责设计、人员编制、印信启用和作废等文件材料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28</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spacing w:val="-12"/>
                <w:kern w:val="0"/>
                <w:sz w:val="24"/>
                <w:szCs w:val="24"/>
              </w:rPr>
              <w:t>人力资源规划、工作计划、制度、办法、决定、报告等</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29</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非在编企业人员录用、转正、聘任、调资、定级、停薪留职、辞职、离退休、死亡、抚恤、安置等文件材料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30</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非在编职工的任免、升降、奖惩、考核、职称评聘等方面文件材料</w:t>
            </w:r>
          </w:p>
        </w:tc>
        <w:tc>
          <w:tcPr>
            <w:tcW w:w="1418" w:type="dxa"/>
            <w:vAlign w:val="center"/>
          </w:tcPr>
          <w:p>
            <w:pPr>
              <w:tabs>
                <w:tab w:val="left" w:pos="1080"/>
                <w:tab w:val="left" w:pos="6480"/>
              </w:tabs>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31</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非在编离退休人员管理有关文件材料</w:t>
            </w:r>
          </w:p>
        </w:tc>
        <w:tc>
          <w:tcPr>
            <w:tcW w:w="1418" w:type="dxa"/>
            <w:vAlign w:val="center"/>
          </w:tcPr>
          <w:p>
            <w:pPr>
              <w:tabs>
                <w:tab w:val="left" w:pos="1080"/>
                <w:tab w:val="left" w:pos="6480"/>
              </w:tabs>
              <w:spacing w:line="440" w:lineRule="exact"/>
              <w:jc w:val="center"/>
              <w:rPr>
                <w:rFonts w:ascii="Times New Roman" w:hAnsi="Times New Roman"/>
                <w:color w:val="00000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32</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非在编企业人员薪酬、待遇等劳动人事管理文件材料</w:t>
            </w:r>
          </w:p>
        </w:tc>
        <w:tc>
          <w:tcPr>
            <w:tcW w:w="1418" w:type="dxa"/>
            <w:vAlign w:val="center"/>
          </w:tcPr>
          <w:p>
            <w:pPr>
              <w:tabs>
                <w:tab w:val="left" w:pos="1080"/>
                <w:tab w:val="left" w:pos="6480"/>
              </w:tabs>
              <w:spacing w:line="440" w:lineRule="exact"/>
              <w:jc w:val="center"/>
              <w:rPr>
                <w:rFonts w:ascii="Times New Roman" w:hAnsi="Times New Roman"/>
                <w:color w:val="00000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33</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企业签订的非在编职工劳动合同</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34</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对本企业有关人员的奖惩材料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35</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本企业人员参加社会保障、医疗保险、商业保险、住房公积金、劳动保护、职业安全、医疗卫生、计划生育等文件材料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36</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职工调动工作的行政、工资关系的介绍信及存根</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37</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职工名册</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38</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法院判决书、调解书等诉讼和仲裁等文件材料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39</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一般法律事务工作文件材料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长期</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40</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案件、纠纷、</w:t>
            </w:r>
            <w:r>
              <w:rPr>
                <w:rFonts w:hint="eastAsia" w:ascii="Times New Roman" w:hAnsi="Times New Roman"/>
                <w:color w:val="000000"/>
                <w:sz w:val="24"/>
                <w:szCs w:val="24"/>
              </w:rPr>
              <w:t>行政处罚、复议文件材料</w:t>
            </w:r>
            <w:r>
              <w:rPr>
                <w:rFonts w:hint="eastAsia" w:ascii="Times New Roman" w:hAnsi="Times New Roman"/>
                <w:color w:val="000000"/>
                <w:kern w:val="0"/>
                <w:sz w:val="24"/>
                <w:szCs w:val="24"/>
              </w:rPr>
              <w:t>及公证事务中结论性材料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41</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案件、纠纷、</w:t>
            </w:r>
            <w:r>
              <w:rPr>
                <w:rFonts w:hint="eastAsia" w:ascii="Times New Roman" w:hAnsi="Times New Roman"/>
                <w:color w:val="000000"/>
                <w:sz w:val="24"/>
                <w:szCs w:val="24"/>
              </w:rPr>
              <w:t>行政处罚、复议文件材料</w:t>
            </w:r>
            <w:r>
              <w:rPr>
                <w:rFonts w:hint="eastAsia" w:ascii="Times New Roman" w:hAnsi="Times New Roman"/>
                <w:color w:val="000000"/>
                <w:kern w:val="0"/>
                <w:sz w:val="24"/>
                <w:szCs w:val="24"/>
              </w:rPr>
              <w:t>及公证事务中调查、协调过程形成的文件材料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长期</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42</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sz w:val="24"/>
                <w:szCs w:val="24"/>
              </w:rPr>
            </w:pPr>
            <w:r>
              <w:rPr>
                <w:rFonts w:hint="eastAsia" w:ascii="Times New Roman" w:hAnsi="Times New Roman"/>
                <w:color w:val="000000"/>
                <w:kern w:val="0"/>
                <w:sz w:val="24"/>
                <w:szCs w:val="24"/>
              </w:rPr>
              <w:t>风险管理、内控、审计工作制度、总结，</w:t>
            </w:r>
            <w:r>
              <w:rPr>
                <w:rFonts w:hint="eastAsia" w:ascii="Times New Roman" w:hAnsi="Times New Roman"/>
                <w:color w:val="000000"/>
                <w:sz w:val="24"/>
                <w:szCs w:val="24"/>
              </w:rPr>
              <w:t>审计意见、审计报告、专项审计通知、报告、批复、结论、调查与证明等文件材料</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43</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本企业党务各项工作条例、规章制度、办法、工作计划、总结</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44</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反映本企业重要活动的照片、录音、录像等（入声像类）</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永久</w:t>
            </w: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45</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企业会计档案（</w:t>
            </w:r>
            <w:r>
              <w:rPr>
                <w:rFonts w:hint="eastAsia" w:ascii="Times New Roman" w:hAnsi="Times New Roman" w:cs="宋体"/>
                <w:kern w:val="0"/>
                <w:sz w:val="24"/>
                <w:szCs w:val="24"/>
              </w:rPr>
              <w:t>具体</w:t>
            </w:r>
            <w:r>
              <w:rPr>
                <w:rFonts w:hint="eastAsia" w:ascii="Times New Roman" w:hAnsi="Times New Roman"/>
                <w:bCs/>
                <w:kern w:val="0"/>
                <w:sz w:val="24"/>
                <w:szCs w:val="24"/>
              </w:rPr>
              <w:t>归档范围参照《会计档案保管期限表》执行</w:t>
            </w:r>
            <w:r>
              <w:rPr>
                <w:rFonts w:hint="eastAsia" w:ascii="Times New Roman" w:hAnsi="Times New Roman"/>
                <w:color w:val="000000"/>
                <w:kern w:val="0"/>
                <w:sz w:val="24"/>
                <w:szCs w:val="24"/>
              </w:rPr>
              <w:t>）</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p>
        </w:tc>
      </w:tr>
      <w:tr>
        <w:tc>
          <w:tcPr>
            <w:tcW w:w="817"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46</w:t>
            </w:r>
          </w:p>
        </w:tc>
        <w:tc>
          <w:tcPr>
            <w:tcW w:w="6624" w:type="dxa"/>
            <w:vAlign w:val="center"/>
          </w:tcPr>
          <w:p>
            <w:pPr>
              <w:widowControl/>
              <w:tabs>
                <w:tab w:val="left" w:pos="1080"/>
                <w:tab w:val="left" w:pos="6480"/>
              </w:tabs>
              <w:adjustRightInd w:val="0"/>
              <w:spacing w:line="44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遗留在本企业的已注销校办企业的各类文件材料（</w:t>
            </w:r>
            <w:r>
              <w:rPr>
                <w:rFonts w:hint="eastAsia" w:ascii="Times New Roman" w:hAnsi="Times New Roman" w:cs="宋体"/>
                <w:kern w:val="0"/>
                <w:sz w:val="24"/>
                <w:szCs w:val="24"/>
              </w:rPr>
              <w:t>具体</w:t>
            </w:r>
            <w:r>
              <w:rPr>
                <w:rFonts w:hint="eastAsia" w:ascii="Times New Roman" w:hAnsi="Times New Roman"/>
                <w:bCs/>
                <w:kern w:val="0"/>
                <w:sz w:val="24"/>
                <w:szCs w:val="24"/>
              </w:rPr>
              <w:t>归档范围参照国家档案局发布第10号令附件《企业管理类档案保管期限表》与《会计档案保管期限表》执行</w:t>
            </w:r>
            <w:r>
              <w:rPr>
                <w:rFonts w:hint="eastAsia" w:ascii="Times New Roman" w:hAnsi="Times New Roman"/>
                <w:color w:val="000000"/>
                <w:kern w:val="0"/>
                <w:sz w:val="24"/>
                <w:szCs w:val="24"/>
              </w:rPr>
              <w:t>）</w:t>
            </w:r>
          </w:p>
        </w:tc>
        <w:tc>
          <w:tcPr>
            <w:tcW w:w="1418" w:type="dxa"/>
            <w:vAlign w:val="center"/>
          </w:tcPr>
          <w:p>
            <w:pPr>
              <w:widowControl/>
              <w:tabs>
                <w:tab w:val="left" w:pos="1080"/>
                <w:tab w:val="left" w:pos="6480"/>
              </w:tabs>
              <w:adjustRightInd w:val="0"/>
              <w:spacing w:line="440" w:lineRule="exact"/>
              <w:jc w:val="center"/>
              <w:rPr>
                <w:rFonts w:ascii="Times New Roman" w:hAnsi="Times New Roman"/>
                <w:color w:val="000000"/>
                <w:kern w:val="0"/>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9993"/>
    <w:rsid w:val="FFFE9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2024-04-26T10:31:00Z</dcterms:created>
  <dc:creator>Pluto.</dc:creator>
  <cp:lastModifiedBy>Pluto.</cp:lastModifiedBy>
  <dcterms:modified xsi:type="dcterms:W3CDTF">2024-04-26T10:31:52Z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297508E7F1EA5ABA10122B664204F1F2_41</vt:lpwstr>
  </property>
</Properties>
</file>